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675"/>
        <w:tblW w:w="9640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10"/>
        <w:gridCol w:w="6483"/>
      </w:tblGrid>
      <w:tr w:rsidR="001F32CA" w:rsidRPr="001F32CA" w:rsidTr="00DF6A97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F32CA" w:rsidRPr="001F32CA" w:rsidRDefault="00D02C93" w:rsidP="001F32CA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D566DF" wp14:editId="0D7A1A37">
                  <wp:extent cx="929640" cy="921385"/>
                  <wp:effectExtent l="0" t="0" r="3810" b="0"/>
                  <wp:docPr id="4" name="Resim 4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2CA" w:rsidRPr="001F32C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spacing w:after="19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1F32CA" w:rsidRPr="001F32CA" w:rsidRDefault="001F32CA" w:rsidP="00D02C93">
            <w:pPr>
              <w:spacing w:after="16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D02C9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1F32CA" w:rsidRPr="001F32CA" w:rsidRDefault="001F32CA" w:rsidP="00D02C93">
            <w:pPr>
              <w:spacing w:after="16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1F32CA" w:rsidRPr="001F32CA" w:rsidTr="00DF6A97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2CA" w:rsidRPr="001F32CA" w:rsidRDefault="001F32CA" w:rsidP="001F32C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Gübre Birimi</w:t>
            </w:r>
          </w:p>
        </w:tc>
      </w:tr>
      <w:tr w:rsidR="001F32CA" w:rsidRPr="001F32CA" w:rsidTr="00DF6A9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1F32CA" w:rsidRPr="001F32CA" w:rsidRDefault="001F32CA" w:rsidP="001F32CA">
      <w:pPr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</w:p>
    <w:p w:rsidR="001F32CA" w:rsidRPr="001F32CA" w:rsidRDefault="001F32CA" w:rsidP="001F32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32CA">
        <w:rPr>
          <w:rFonts w:ascii="Arial" w:hAnsi="Arial" w:cs="Arial"/>
          <w:b/>
          <w:sz w:val="24"/>
          <w:szCs w:val="24"/>
        </w:rPr>
        <w:t>İŞİN KISA TANIMI:</w:t>
      </w:r>
    </w:p>
    <w:p w:rsidR="001F32CA" w:rsidRPr="001F32CA" w:rsidRDefault="001F32CA" w:rsidP="001F3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2CA">
        <w:rPr>
          <w:rFonts w:ascii="Arial" w:hAnsi="Arial" w:cs="Arial"/>
          <w:sz w:val="24"/>
          <w:szCs w:val="24"/>
        </w:rPr>
        <w:t xml:space="preserve">          Üst Yönetimin belirlediği amaç ve ilkeler doğrultusunda il sınırları içerisinde tarımsal üretimde kullanılan kimyasal gübrelerin gerek üretiminde gerek kullanımında gerekli denetimleri yapmak, sorumluluk alanı </w:t>
      </w:r>
      <w:proofErr w:type="gramStart"/>
      <w:r w:rsidRPr="001F32CA">
        <w:rPr>
          <w:rFonts w:ascii="Arial" w:hAnsi="Arial" w:cs="Arial"/>
          <w:sz w:val="24"/>
          <w:szCs w:val="24"/>
        </w:rPr>
        <w:t>dahilinde</w:t>
      </w:r>
      <w:proofErr w:type="gramEnd"/>
      <w:r w:rsidRPr="001F32CA">
        <w:rPr>
          <w:rFonts w:ascii="Arial" w:hAnsi="Arial" w:cs="Arial"/>
          <w:sz w:val="24"/>
          <w:szCs w:val="24"/>
        </w:rPr>
        <w:t xml:space="preserve"> kullanılan kimyevi gübre miktarları ile ilgili cetvel ve raporları tutarak ilgili ilgili mercilere sunmak. </w:t>
      </w:r>
    </w:p>
    <w:p w:rsidR="001F32CA" w:rsidRPr="001F32CA" w:rsidRDefault="001F32CA" w:rsidP="001F3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2CA" w:rsidRPr="001F32CA" w:rsidRDefault="001F32CA" w:rsidP="001F32CA">
      <w:pPr>
        <w:spacing w:before="120" w:after="120" w:line="240" w:lineRule="auto"/>
        <w:jc w:val="both"/>
      </w:pPr>
      <w:r w:rsidRPr="001F32CA">
        <w:rPr>
          <w:rFonts w:ascii="Arial" w:hAnsi="Arial" w:cs="Arial"/>
          <w:b/>
          <w:sz w:val="24"/>
          <w:szCs w:val="24"/>
        </w:rPr>
        <w:t>GÖREV VE SORUMLULUKLARI:</w:t>
      </w:r>
      <w:r w:rsidRPr="001F32CA">
        <w:t xml:space="preserve"> </w:t>
      </w:r>
    </w:p>
    <w:p w:rsidR="001F32CA" w:rsidRPr="001F32CA" w:rsidRDefault="001F32CA" w:rsidP="001F32CA">
      <w:pPr>
        <w:numPr>
          <w:ilvl w:val="0"/>
          <w:numId w:val="1"/>
        </w:numPr>
        <w:spacing w:before="120" w:after="5" w:line="383" w:lineRule="auto"/>
        <w:ind w:hanging="284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1F32CA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Sorumlular için belirlenmiş ortak görev ve sorumlulukları yerine getirmek. </w:t>
      </w:r>
    </w:p>
    <w:p w:rsidR="001F32CA" w:rsidRPr="001F32CA" w:rsidRDefault="001F32CA" w:rsidP="001F32CA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1F32CA">
        <w:rPr>
          <w:rFonts w:ascii="Arial" w:hAnsi="Arial" w:cs="Arial"/>
          <w:sz w:val="24"/>
          <w:szCs w:val="24"/>
        </w:rPr>
        <w:t>–</w:t>
      </w:r>
      <w:r w:rsidRPr="001F32CA">
        <w:rPr>
          <w:rFonts w:ascii="Arial" w:hAnsi="Arial" w:cs="Arial"/>
          <w:sz w:val="24"/>
          <w:szCs w:val="24"/>
        </w:rPr>
        <w:tab/>
      </w:r>
      <w:r w:rsidRPr="001F32CA">
        <w:rPr>
          <w:rFonts w:ascii="Arial" w:hAnsi="Arial" w:cs="Arial"/>
          <w:b/>
          <w:sz w:val="24"/>
          <w:szCs w:val="24"/>
        </w:rPr>
        <w:t xml:space="preserve">  </w:t>
      </w:r>
      <w:r w:rsidRPr="001F32CA">
        <w:rPr>
          <w:rFonts w:ascii="Arial" w:hAnsi="Arial" w:cs="Arial"/>
          <w:sz w:val="24"/>
          <w:szCs w:val="24"/>
        </w:rPr>
        <w:t xml:space="preserve">Bakanlığın il müdürlüklerine yetki devri yaptığı gübreler için ithalat uygunluk    </w:t>
      </w:r>
    </w:p>
    <w:p w:rsidR="001F32CA" w:rsidRPr="001F32CA" w:rsidRDefault="001F32CA" w:rsidP="001F32CA">
      <w:pPr>
        <w:spacing w:after="0" w:line="360" w:lineRule="auto"/>
        <w:ind w:left="142" w:hanging="142"/>
        <w:jc w:val="both"/>
      </w:pPr>
      <w:r w:rsidRPr="001F32CA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F32CA">
        <w:rPr>
          <w:rFonts w:ascii="Arial" w:hAnsi="Arial" w:cs="Arial"/>
          <w:sz w:val="24"/>
          <w:szCs w:val="24"/>
        </w:rPr>
        <w:t>belgelerini</w:t>
      </w:r>
      <w:proofErr w:type="gramEnd"/>
      <w:r w:rsidRPr="001F32CA">
        <w:rPr>
          <w:rFonts w:ascii="Arial" w:hAnsi="Arial" w:cs="Arial"/>
          <w:sz w:val="24"/>
          <w:szCs w:val="24"/>
        </w:rPr>
        <w:t xml:space="preserve"> düzenlemek.</w:t>
      </w:r>
      <w:r w:rsidRPr="001F32CA">
        <w:t xml:space="preserve"> </w:t>
      </w:r>
    </w:p>
    <w:p w:rsidR="001F32CA" w:rsidRPr="001F32CA" w:rsidRDefault="001F32CA" w:rsidP="001F32CA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32CA">
        <w:rPr>
          <w:rFonts w:ascii="Arial" w:hAnsi="Arial" w:cs="Arial"/>
          <w:sz w:val="24"/>
          <w:szCs w:val="24"/>
        </w:rPr>
        <w:t>–</w:t>
      </w:r>
      <w:r w:rsidRPr="001F32CA">
        <w:rPr>
          <w:rFonts w:ascii="Arial" w:hAnsi="Arial" w:cs="Arial"/>
          <w:sz w:val="24"/>
          <w:szCs w:val="24"/>
        </w:rPr>
        <w:tab/>
        <w:t>İlk defa faaliyete geçen gübre fabrikaları ile gübre üretim yerleri için lisans başvurularında, bu fabrika ve üretim yerlerinin mevzuata uygunluğunu denetlemek, uygunluk raporunu bakanlığa göndermek.</w:t>
      </w:r>
    </w:p>
    <w:p w:rsidR="001F32CA" w:rsidRPr="001F32CA" w:rsidRDefault="001F32CA" w:rsidP="001F32CA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32CA">
        <w:rPr>
          <w:rFonts w:ascii="Arial" w:hAnsi="Arial" w:cs="Arial"/>
          <w:sz w:val="24"/>
          <w:szCs w:val="24"/>
        </w:rPr>
        <w:t>–</w:t>
      </w:r>
      <w:r w:rsidRPr="001F32CA">
        <w:rPr>
          <w:rFonts w:ascii="Arial" w:hAnsi="Arial" w:cs="Arial"/>
          <w:sz w:val="24"/>
          <w:szCs w:val="24"/>
        </w:rPr>
        <w:tab/>
        <w:t>İl sınırları içinde gübre ve gübre bayilerinin denetimi, gerekli analiz için numune alımı ve alınan numunelerin laboratuvar incelemesini sağlamak ve çıkan sonuçların ilgili kurum/kuruluşlara bildirmek.</w:t>
      </w:r>
    </w:p>
    <w:p w:rsidR="001F32CA" w:rsidRPr="001F32CA" w:rsidRDefault="001F32CA" w:rsidP="001F32CA">
      <w:pPr>
        <w:spacing w:before="120" w:after="120" w:line="240" w:lineRule="auto"/>
        <w:ind w:left="284" w:hanging="284"/>
        <w:jc w:val="both"/>
      </w:pPr>
      <w:r w:rsidRPr="001F32CA">
        <w:rPr>
          <w:rFonts w:ascii="Arial" w:hAnsi="Arial" w:cs="Arial"/>
          <w:sz w:val="24"/>
          <w:szCs w:val="24"/>
        </w:rPr>
        <w:t>–</w:t>
      </w:r>
      <w:r w:rsidRPr="001F32CA">
        <w:rPr>
          <w:rFonts w:ascii="Arial" w:hAnsi="Arial" w:cs="Arial"/>
          <w:sz w:val="24"/>
          <w:szCs w:val="24"/>
        </w:rPr>
        <w:tab/>
        <w:t>TÜGEM tarafından toplatılmasına kararı verilen gübrelerin bayilerde kontrolü ve ilgili mevzuat çerçevesinde işlem yapılması.</w:t>
      </w:r>
      <w:r w:rsidRPr="001F32CA">
        <w:t xml:space="preserve"> </w:t>
      </w:r>
    </w:p>
    <w:p w:rsidR="001F32CA" w:rsidRPr="001F32CA" w:rsidRDefault="001F32CA" w:rsidP="001F32CA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32CA">
        <w:rPr>
          <w:rFonts w:ascii="Arial" w:hAnsi="Arial" w:cs="Arial"/>
          <w:sz w:val="24"/>
          <w:szCs w:val="24"/>
        </w:rPr>
        <w:t>–</w:t>
      </w:r>
      <w:r w:rsidRPr="001F32CA">
        <w:rPr>
          <w:rFonts w:ascii="Arial" w:hAnsi="Arial" w:cs="Arial"/>
          <w:sz w:val="24"/>
          <w:szCs w:val="24"/>
        </w:rPr>
        <w:tab/>
        <w:t xml:space="preserve">İl </w:t>
      </w:r>
      <w:proofErr w:type="gramStart"/>
      <w:r w:rsidRPr="001F32CA">
        <w:rPr>
          <w:rFonts w:ascii="Arial" w:hAnsi="Arial" w:cs="Arial"/>
          <w:sz w:val="24"/>
          <w:szCs w:val="24"/>
        </w:rPr>
        <w:t>dahilinde</w:t>
      </w:r>
      <w:proofErr w:type="gramEnd"/>
      <w:r w:rsidRPr="001F32CA">
        <w:rPr>
          <w:rFonts w:ascii="Arial" w:hAnsi="Arial" w:cs="Arial"/>
          <w:sz w:val="24"/>
          <w:szCs w:val="24"/>
        </w:rPr>
        <w:t xml:space="preserve"> faaliyette bulunan her türlü gübre ve toprak düzenleyicilerinin üretim ve satış yerleri ile bu müteşebbislerin depolarını ve piyasaya arz edilmiş ürünlerini belirlenmiş esaslara göre uygunluğunu denetlemek.</w:t>
      </w:r>
    </w:p>
    <w:p w:rsidR="001F32CA" w:rsidRPr="001F32CA" w:rsidRDefault="001F32CA" w:rsidP="001F32CA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32CA">
        <w:t xml:space="preserve"> </w:t>
      </w:r>
      <w:proofErr w:type="gramStart"/>
      <w:r w:rsidRPr="001F32CA">
        <w:rPr>
          <w:rFonts w:ascii="Arial" w:hAnsi="Arial" w:cs="Arial"/>
          <w:sz w:val="24"/>
          <w:szCs w:val="24"/>
        </w:rPr>
        <w:t>–</w:t>
      </w:r>
      <w:r w:rsidRPr="001F32CA">
        <w:rPr>
          <w:rFonts w:ascii="Arial" w:hAnsi="Arial" w:cs="Arial"/>
          <w:sz w:val="24"/>
          <w:szCs w:val="24"/>
        </w:rPr>
        <w:tab/>
        <w:t>Tarımsal işletmelerde kullanılan kimyasalların kayıtları kontrol etmek, izlemek ve denetlemek.</w:t>
      </w:r>
      <w:proofErr w:type="gramEnd"/>
    </w:p>
    <w:p w:rsidR="001F32CA" w:rsidRPr="001F32CA" w:rsidRDefault="001F32CA" w:rsidP="001F32CA">
      <w:p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F32CA">
        <w:rPr>
          <w:rFonts w:ascii="Arial" w:hAnsi="Arial" w:cs="Arial"/>
          <w:sz w:val="24"/>
          <w:szCs w:val="24"/>
        </w:rPr>
        <w:t>–</w:t>
      </w:r>
      <w:r w:rsidRPr="001F32CA">
        <w:rPr>
          <w:rFonts w:ascii="Arial" w:hAnsi="Arial" w:cs="Arial"/>
          <w:sz w:val="24"/>
          <w:szCs w:val="24"/>
        </w:rPr>
        <w:tab/>
        <w:t>Satışı yapılan gübrelerin icmal ve cetvellerini tanzim eder / tanzim edilmesini sağlamak.</w:t>
      </w:r>
    </w:p>
    <w:p w:rsidR="001F32CA" w:rsidRPr="001F32CA" w:rsidRDefault="001F32CA" w:rsidP="001F32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1F32CA">
        <w:rPr>
          <w:rFonts w:ascii="Arial" w:eastAsia="Arial" w:hAnsi="Arial" w:cs="Arial"/>
          <w:color w:val="000000"/>
          <w:sz w:val="24"/>
          <w:lang w:eastAsia="tr-TR"/>
        </w:rPr>
        <w:t>Ülke ekonomisini, sağlık sektörünü ve gelişmelerini takip etmek, mesleğine ilişkin yayınları sürekli izlemek, bilgilerini güncelleştirmek.</w:t>
      </w:r>
      <w:proofErr w:type="gramEnd"/>
    </w:p>
    <w:p w:rsidR="001F32CA" w:rsidRPr="001F32CA" w:rsidRDefault="001F32CA" w:rsidP="001F32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1F32CA">
        <w:rPr>
          <w:rFonts w:ascii="Arial" w:eastAsia="Arial" w:hAnsi="Arial" w:cs="Arial"/>
          <w:color w:val="000000"/>
          <w:sz w:val="24"/>
          <w:lang w:eastAsia="tr-TR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1F32CA" w:rsidRPr="001F32CA" w:rsidRDefault="001F32CA" w:rsidP="001F32CA">
      <w:pPr>
        <w:numPr>
          <w:ilvl w:val="0"/>
          <w:numId w:val="2"/>
        </w:num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1F32CA">
        <w:rPr>
          <w:rFonts w:ascii="Arial" w:eastAsia="Arial" w:hAnsi="Arial" w:cs="Arial"/>
          <w:color w:val="000000"/>
          <w:sz w:val="24"/>
          <w:lang w:eastAsia="tr-TR"/>
        </w:rPr>
        <w:t xml:space="preserve">Biriminde yapılan işlerin kuruluşun </w:t>
      </w:r>
      <w:proofErr w:type="gramStart"/>
      <w:r w:rsidRPr="001F32CA">
        <w:rPr>
          <w:rFonts w:ascii="Arial" w:eastAsia="Arial" w:hAnsi="Arial" w:cs="Arial"/>
          <w:color w:val="000000"/>
          <w:sz w:val="24"/>
          <w:lang w:eastAsia="tr-TR"/>
        </w:rPr>
        <w:t>misyon</w:t>
      </w:r>
      <w:proofErr w:type="gramEnd"/>
      <w:r w:rsidRPr="001F32CA">
        <w:rPr>
          <w:rFonts w:ascii="Arial" w:eastAsia="Arial" w:hAnsi="Arial" w:cs="Arial"/>
          <w:color w:val="000000"/>
          <w:sz w:val="24"/>
          <w:lang w:eastAsia="tr-TR"/>
        </w:rPr>
        <w:t>, vizyon ve temel değerlerine uygunluğunu sağlamak.</w:t>
      </w:r>
    </w:p>
    <w:p w:rsidR="001F32CA" w:rsidRDefault="001F32CA" w:rsidP="001F32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1F32CA">
        <w:rPr>
          <w:rFonts w:ascii="Arial" w:eastAsia="Arial" w:hAnsi="Arial" w:cs="Arial"/>
          <w:color w:val="000000"/>
          <w:sz w:val="24"/>
          <w:lang w:eastAsia="tr-TR"/>
        </w:rPr>
        <w:t>Görev alanı ile ilgili tüm kayıt, evrak ve değerlerin korunmasından sorumlu olmak, arşiv oluşturmak ve düzenini sağlamak.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1F32CA" w:rsidTr="00DF6A9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02C93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D02C9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F6A9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F6A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02C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D02C9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</w:p>
        </w:tc>
      </w:tr>
      <w:tr w:rsidR="001F32CA" w:rsidTr="00DF6A9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1F32CA" w:rsidTr="00DF6A9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CA" w:rsidRDefault="001F32CA" w:rsidP="00DF6A97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1F32CA" w:rsidTr="00DF6A9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1F32CA" w:rsidRPr="001F32CA" w:rsidRDefault="001F32CA" w:rsidP="001F32CA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lang w:eastAsia="tr-TR"/>
        </w:rPr>
      </w:pPr>
    </w:p>
    <w:p w:rsidR="001F32CA" w:rsidRPr="001F32CA" w:rsidRDefault="001F32CA" w:rsidP="001F32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1F32CA">
        <w:rPr>
          <w:rFonts w:ascii="Arial" w:eastAsia="Arial" w:hAnsi="Arial" w:cs="Arial"/>
          <w:color w:val="000000"/>
          <w:sz w:val="24"/>
          <w:lang w:eastAsia="tr-TR"/>
        </w:rPr>
        <w:t>Görev ve sorumluluk alanındaki faaliyetlerin mevcut iç kontrol sistemi tanım ve talimatlarına uygun olarak yürütülmesini sağlamak.</w:t>
      </w:r>
    </w:p>
    <w:tbl>
      <w:tblPr>
        <w:tblStyle w:val="TableGrid"/>
        <w:tblpPr w:leftFromText="141" w:rightFromText="141" w:horzAnchor="margin" w:tblpY="-675"/>
        <w:tblW w:w="9640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10"/>
        <w:gridCol w:w="6483"/>
      </w:tblGrid>
      <w:tr w:rsidR="001F32CA" w:rsidRPr="001F32CA" w:rsidTr="00DF6A97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F32CA" w:rsidRPr="001F32CA" w:rsidRDefault="00D02C93" w:rsidP="001F32CA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5B4F2C" wp14:editId="115D1778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2CA" w:rsidRPr="001F32C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spacing w:after="19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1F32CA" w:rsidRPr="001F32CA" w:rsidRDefault="001F32CA" w:rsidP="00D02C93">
            <w:pPr>
              <w:spacing w:after="16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D02C9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1F32CA" w:rsidRPr="001F32CA" w:rsidRDefault="001F32CA" w:rsidP="00D02C93">
            <w:pPr>
              <w:spacing w:after="16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1F32CA" w:rsidRPr="001F32CA" w:rsidTr="00DF6A97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2CA" w:rsidRPr="001F32CA" w:rsidRDefault="001F32CA" w:rsidP="001F32C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Gübre Birimi</w:t>
            </w:r>
          </w:p>
        </w:tc>
      </w:tr>
      <w:tr w:rsidR="001F32CA" w:rsidRPr="001F32CA" w:rsidTr="00DF6A9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32CA" w:rsidRPr="001F32CA" w:rsidRDefault="001F32CA" w:rsidP="001F32CA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1F32C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1F32CA" w:rsidRPr="001F32CA" w:rsidRDefault="001F32CA" w:rsidP="001F32CA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lang w:eastAsia="tr-TR"/>
        </w:rPr>
      </w:pPr>
    </w:p>
    <w:p w:rsidR="001F32CA" w:rsidRPr="001F32CA" w:rsidRDefault="001F32CA" w:rsidP="001F32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1F32CA">
        <w:rPr>
          <w:rFonts w:ascii="Arial" w:eastAsia="Arial" w:hAnsi="Arial" w:cs="Arial"/>
          <w:color w:val="000000"/>
          <w:sz w:val="24"/>
          <w:lang w:eastAsia="tr-TR"/>
        </w:rPr>
        <w:t>Birimin ilgi alanına giren konularda meydana gelebilecek standart dışılık olgusunun giderilmesi ve sürekli iyileştirme amacıyla; ‘Düzeltici Faaliyet’ ve ‘Önleyici Faaliyet’ çalışmaları yapmak.</w:t>
      </w:r>
    </w:p>
    <w:p w:rsidR="001F32CA" w:rsidRPr="001F32CA" w:rsidRDefault="001F32CA" w:rsidP="001F32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1F32CA">
        <w:rPr>
          <w:rFonts w:ascii="Arial" w:eastAsia="Arial" w:hAnsi="Arial" w:cs="Arial"/>
          <w:color w:val="000000"/>
          <w:sz w:val="24"/>
          <w:lang w:eastAsia="tr-TR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1F32CA" w:rsidRPr="001F32CA" w:rsidRDefault="001F32CA" w:rsidP="001F32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1F32CA">
        <w:rPr>
          <w:rFonts w:ascii="Arial" w:eastAsia="Arial" w:hAnsi="Arial" w:cs="Arial"/>
          <w:color w:val="000000"/>
          <w:sz w:val="24"/>
          <w:lang w:eastAsia="tr-TR"/>
        </w:rPr>
        <w:t>Yaptığı işin kalitesinden sorumlu olmak ve kendi sorumluluk alanı içerisinde gerçekleştirilen işin kalitesini kontrol etmek.</w:t>
      </w:r>
      <w:proofErr w:type="gramEnd"/>
    </w:p>
    <w:p w:rsidR="001F32CA" w:rsidRPr="001F32CA" w:rsidRDefault="001F32CA" w:rsidP="001F32CA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1F32CA">
        <w:rPr>
          <w:rFonts w:ascii="Arial" w:eastAsia="Arial" w:hAnsi="Arial" w:cs="Arial"/>
          <w:color w:val="000000"/>
          <w:sz w:val="24"/>
          <w:lang w:eastAsia="tr-TR"/>
        </w:rPr>
        <w:t>Görev alanı ile ilgili olarak yöneticisi tarafından verilen diğer görevleri yerine getirmek.</w:t>
      </w:r>
    </w:p>
    <w:p w:rsidR="001F32CA" w:rsidRPr="001F32CA" w:rsidRDefault="001F32CA" w:rsidP="001F32CA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32CA">
        <w:rPr>
          <w:rFonts w:ascii="Arial" w:hAnsi="Arial" w:cs="Arial"/>
          <w:b/>
          <w:sz w:val="24"/>
          <w:szCs w:val="24"/>
        </w:rPr>
        <w:t>YETKİLERİ:</w:t>
      </w:r>
    </w:p>
    <w:p w:rsidR="001F32CA" w:rsidRPr="001F32CA" w:rsidRDefault="001F32CA" w:rsidP="001F32CA">
      <w:pPr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32CA">
        <w:rPr>
          <w:rFonts w:ascii="Arial" w:hAnsi="Arial" w:cs="Arial"/>
          <w:sz w:val="24"/>
          <w:szCs w:val="24"/>
        </w:rPr>
        <w:t>–</w:t>
      </w:r>
      <w:r w:rsidRPr="001F32CA">
        <w:rPr>
          <w:rFonts w:ascii="Arial" w:hAnsi="Arial" w:cs="Arial"/>
          <w:sz w:val="24"/>
          <w:szCs w:val="24"/>
        </w:rPr>
        <w:tab/>
        <w:t>Sorumlular için belirlenmiş ortak yetkilere sahip olmak.</w:t>
      </w:r>
    </w:p>
    <w:p w:rsidR="001F32CA" w:rsidRPr="001F32CA" w:rsidRDefault="001F32CA" w:rsidP="001F32CA">
      <w:pPr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32CA">
        <w:rPr>
          <w:rFonts w:ascii="Arial" w:hAnsi="Arial" w:cs="Arial"/>
          <w:sz w:val="24"/>
          <w:szCs w:val="24"/>
        </w:rPr>
        <w:t>–</w:t>
      </w:r>
      <w:r w:rsidRPr="001F32CA">
        <w:rPr>
          <w:rFonts w:ascii="Arial" w:hAnsi="Arial" w:cs="Arial"/>
          <w:sz w:val="24"/>
          <w:szCs w:val="24"/>
        </w:rPr>
        <w:tab/>
        <w:t>Yukarıda belirtilen görev ve sorumlulukları gerçekleştirme yetkisine sahip olmak.</w:t>
      </w:r>
    </w:p>
    <w:p w:rsidR="001F32CA" w:rsidRPr="001F32CA" w:rsidRDefault="001F32CA" w:rsidP="001F32CA">
      <w:pPr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1F32CA">
        <w:rPr>
          <w:rFonts w:ascii="Arial" w:hAnsi="Arial" w:cs="Arial"/>
          <w:sz w:val="24"/>
          <w:szCs w:val="24"/>
        </w:rPr>
        <w:t>–</w:t>
      </w:r>
      <w:r w:rsidRPr="001F32CA">
        <w:rPr>
          <w:rFonts w:ascii="Arial" w:hAnsi="Arial" w:cs="Arial"/>
          <w:sz w:val="24"/>
          <w:szCs w:val="24"/>
        </w:rPr>
        <w:tab/>
        <w:t>Faaliyetlerinin gerektirdiği her türlü araç, gereç ve malzemeyi kullanmak.</w:t>
      </w:r>
      <w:proofErr w:type="gramEnd"/>
    </w:p>
    <w:p w:rsidR="001F32CA" w:rsidRPr="001F32CA" w:rsidRDefault="001F32CA" w:rsidP="001F32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32CA">
        <w:rPr>
          <w:rFonts w:ascii="Arial" w:hAnsi="Arial" w:cs="Arial"/>
          <w:b/>
          <w:sz w:val="24"/>
          <w:szCs w:val="24"/>
        </w:rPr>
        <w:t>EN YAKIN YÖNETİCİSİ:</w:t>
      </w:r>
    </w:p>
    <w:p w:rsidR="001F32CA" w:rsidRPr="001F32CA" w:rsidRDefault="001F32CA" w:rsidP="001F32CA">
      <w:pPr>
        <w:keepNext/>
        <w:keepLines/>
        <w:tabs>
          <w:tab w:val="left" w:pos="426"/>
        </w:tabs>
        <w:spacing w:before="120" w:after="110" w:line="24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1F32CA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1F32CA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ab/>
      </w:r>
      <w:r w:rsidRPr="001F32CA">
        <w:rPr>
          <w:rFonts w:ascii="Arial" w:eastAsia="Arial" w:hAnsi="Arial" w:cs="Arial"/>
          <w:color w:val="000000"/>
          <w:sz w:val="24"/>
          <w:szCs w:val="24"/>
          <w:lang w:eastAsia="tr-TR"/>
        </w:rPr>
        <w:t>Bitkisel Üretim ve Bitki Sağlığı Şube Müdürü</w:t>
      </w:r>
      <w:r w:rsidRPr="001F32CA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</w:p>
    <w:p w:rsidR="001F32CA" w:rsidRPr="001F32CA" w:rsidRDefault="001F32CA" w:rsidP="001F32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2CA">
        <w:rPr>
          <w:rFonts w:ascii="Arial" w:hAnsi="Arial" w:cs="Arial"/>
          <w:b/>
          <w:sz w:val="24"/>
          <w:szCs w:val="24"/>
        </w:rPr>
        <w:t>ALTINDAKİ BAĞLI İŞ UNVANLARI:</w:t>
      </w:r>
      <w:r w:rsidRPr="001F32CA">
        <w:rPr>
          <w:rFonts w:ascii="Arial" w:hAnsi="Arial" w:cs="Arial"/>
          <w:sz w:val="24"/>
          <w:szCs w:val="24"/>
        </w:rPr>
        <w:t xml:space="preserve"> </w:t>
      </w:r>
    </w:p>
    <w:p w:rsidR="001F32CA" w:rsidRPr="001F32CA" w:rsidRDefault="001F32CA" w:rsidP="001F32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32CA">
        <w:rPr>
          <w:rFonts w:ascii="Arial" w:hAnsi="Arial" w:cs="Arial"/>
          <w:b/>
          <w:sz w:val="24"/>
          <w:szCs w:val="24"/>
        </w:rPr>
        <w:t>BU İŞTE ÇALIŞANDA ARANAN NİTELİKLER:</w:t>
      </w:r>
    </w:p>
    <w:p w:rsidR="001F32CA" w:rsidRPr="001F32CA" w:rsidRDefault="001F32CA" w:rsidP="001F32CA">
      <w:pPr>
        <w:numPr>
          <w:ilvl w:val="0"/>
          <w:numId w:val="3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1F32CA">
        <w:rPr>
          <w:rFonts w:ascii="Arial" w:hAnsi="Arial" w:cs="Arial"/>
          <w:color w:val="000000"/>
          <w:sz w:val="24"/>
          <w:szCs w:val="24"/>
        </w:rPr>
        <w:t xml:space="preserve">657 sayılı Devlet Memurları Kanunu’nda </w:t>
      </w:r>
      <w:r w:rsidRPr="001F32CA">
        <w:rPr>
          <w:rFonts w:ascii="Arial" w:hAnsi="Arial" w:cs="Arial"/>
          <w:sz w:val="24"/>
          <w:szCs w:val="24"/>
        </w:rPr>
        <w:t>belirtilen genel niteliklere sahip olmak.</w:t>
      </w:r>
      <w:r w:rsidRPr="001F32CA">
        <w:rPr>
          <w:szCs w:val="24"/>
        </w:rPr>
        <w:t xml:space="preserve"> </w:t>
      </w:r>
    </w:p>
    <w:p w:rsidR="001F32CA" w:rsidRPr="001F32CA" w:rsidRDefault="001F32CA" w:rsidP="001F32CA">
      <w:pPr>
        <w:numPr>
          <w:ilvl w:val="0"/>
          <w:numId w:val="3"/>
        </w:numPr>
        <w:spacing w:before="120" w:after="120" w:line="240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1F32CA">
        <w:rPr>
          <w:rFonts w:ascii="Arial" w:hAnsi="Arial" w:cs="Arial"/>
          <w:sz w:val="24"/>
          <w:szCs w:val="24"/>
        </w:rPr>
        <w:t xml:space="preserve">Lisans veya Ön lisans düzeyinde bir </w:t>
      </w:r>
      <w:proofErr w:type="gramStart"/>
      <w:r w:rsidRPr="001F32CA">
        <w:rPr>
          <w:rFonts w:ascii="Arial" w:hAnsi="Arial" w:cs="Arial"/>
          <w:sz w:val="24"/>
          <w:szCs w:val="24"/>
        </w:rPr>
        <w:t>yüksek öğrenim</w:t>
      </w:r>
      <w:proofErr w:type="gramEnd"/>
      <w:r w:rsidRPr="001F32CA">
        <w:rPr>
          <w:rFonts w:ascii="Arial" w:hAnsi="Arial" w:cs="Arial"/>
          <w:sz w:val="24"/>
          <w:szCs w:val="24"/>
        </w:rPr>
        <w:t xml:space="preserve"> kurumunun, tercihen Ziraat veya Kimya bölümünü bitirmiş olmak.</w:t>
      </w:r>
    </w:p>
    <w:p w:rsidR="001F32CA" w:rsidRPr="001F32CA" w:rsidRDefault="001F32CA" w:rsidP="001F32CA">
      <w:pPr>
        <w:numPr>
          <w:ilvl w:val="0"/>
          <w:numId w:val="3"/>
        </w:numPr>
        <w:spacing w:before="120" w:after="120" w:line="24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1F32CA">
        <w:rPr>
          <w:rFonts w:ascii="Arial" w:eastAsia="Calibri" w:hAnsi="Arial" w:cs="Arial"/>
          <w:sz w:val="24"/>
          <w:szCs w:val="24"/>
        </w:rPr>
        <w:t xml:space="preserve"> Kimyevi Gübre Denetçi Belgesine sahip olmak ve ilgili mevzuata </w:t>
      </w:r>
      <w:proofErr w:type="gramStart"/>
      <w:r w:rsidRPr="001F32CA">
        <w:rPr>
          <w:rFonts w:ascii="Arial" w:eastAsia="Calibri" w:hAnsi="Arial" w:cs="Arial"/>
          <w:sz w:val="24"/>
          <w:szCs w:val="24"/>
        </w:rPr>
        <w:t>hakim</w:t>
      </w:r>
      <w:proofErr w:type="gramEnd"/>
      <w:r w:rsidRPr="001F32CA">
        <w:rPr>
          <w:rFonts w:ascii="Arial" w:eastAsia="Calibri" w:hAnsi="Arial" w:cs="Arial"/>
          <w:sz w:val="24"/>
          <w:szCs w:val="24"/>
        </w:rPr>
        <w:t xml:space="preserve"> olmak.</w:t>
      </w:r>
      <w:r w:rsidRPr="001F32CA">
        <w:rPr>
          <w:szCs w:val="24"/>
        </w:rPr>
        <w:t xml:space="preserve"> </w:t>
      </w:r>
    </w:p>
    <w:p w:rsidR="001F32CA" w:rsidRPr="001F32CA" w:rsidRDefault="001F32CA" w:rsidP="001F32CA">
      <w:pPr>
        <w:numPr>
          <w:ilvl w:val="0"/>
          <w:numId w:val="3"/>
        </w:numPr>
        <w:spacing w:before="120" w:after="120" w:line="24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1F32CA">
        <w:rPr>
          <w:rFonts w:ascii="Arial" w:eastAsia="Calibri" w:hAnsi="Arial" w:cs="Arial"/>
          <w:sz w:val="24"/>
          <w:szCs w:val="24"/>
        </w:rPr>
        <w:t>Faaliyetlerinin gerektirdiği analitik düşünme yeteneğine sahip olmak.</w:t>
      </w:r>
      <w:r w:rsidRPr="001F32CA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</w:t>
      </w:r>
    </w:p>
    <w:p w:rsidR="001F32CA" w:rsidRPr="001F32CA" w:rsidRDefault="001F32CA" w:rsidP="001F32CA">
      <w:pPr>
        <w:numPr>
          <w:ilvl w:val="0"/>
          <w:numId w:val="3"/>
        </w:numPr>
        <w:spacing w:before="120" w:after="120" w:line="240" w:lineRule="auto"/>
        <w:ind w:left="425" w:hanging="357"/>
        <w:jc w:val="both"/>
        <w:rPr>
          <w:rFonts w:ascii="Arial" w:eastAsia="Calibri" w:hAnsi="Arial" w:cs="Arial"/>
          <w:sz w:val="24"/>
          <w:szCs w:val="24"/>
        </w:rPr>
      </w:pPr>
      <w:r w:rsidRPr="001F32CA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İşin gerektirdiği yabancı dil düzeyine sahip olmak.</w:t>
      </w:r>
    </w:p>
    <w:p w:rsidR="001F32CA" w:rsidRPr="001F32CA" w:rsidRDefault="001F32CA" w:rsidP="001F32CA">
      <w:pPr>
        <w:spacing w:before="120" w:after="120" w:line="240" w:lineRule="auto"/>
        <w:ind w:left="-5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1F32CA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ÇALIŞMA KOŞULLARI:</w:t>
      </w:r>
    </w:p>
    <w:p w:rsidR="001F32CA" w:rsidRPr="001F32CA" w:rsidRDefault="001F32CA" w:rsidP="001F32CA">
      <w:pPr>
        <w:spacing w:before="120" w:after="120" w:line="240" w:lineRule="auto"/>
        <w:ind w:left="-5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1F32CA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  <w:proofErr w:type="gramStart"/>
      <w:r w:rsidRPr="001F32CA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Mesai: </w:t>
      </w:r>
      <w:r w:rsidRPr="001F32CA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Mesai saatleri ve gerektiğinde mesai saatleri dışında da görev yapmak. </w:t>
      </w:r>
      <w:proofErr w:type="gramEnd"/>
    </w:p>
    <w:p w:rsidR="001F32CA" w:rsidRPr="001F32CA" w:rsidRDefault="001F32CA" w:rsidP="001F32CA">
      <w:pPr>
        <w:spacing w:before="120" w:after="120" w:line="240" w:lineRule="auto"/>
        <w:ind w:left="-5" w:right="155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1F32CA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Çalışma Ortamı: </w:t>
      </w:r>
      <w:r w:rsidRPr="001F32CA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Büro, arazi ve denetim yerlerinde çalışmak.           </w:t>
      </w:r>
    </w:p>
    <w:p w:rsidR="001F32CA" w:rsidRPr="001F32CA" w:rsidRDefault="001F32CA" w:rsidP="001F32CA">
      <w:pPr>
        <w:spacing w:before="120" w:after="120" w:line="240" w:lineRule="auto"/>
        <w:ind w:left="-5" w:right="1551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1F32CA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  <w:proofErr w:type="gramStart"/>
      <w:r w:rsidRPr="001F32CA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Seyahat Durumu: </w:t>
      </w:r>
      <w:r w:rsidRPr="001F32CA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Görevi gereği seyahat edebilmek. </w:t>
      </w:r>
      <w:proofErr w:type="gramEnd"/>
    </w:p>
    <w:p w:rsidR="001F32CA" w:rsidRPr="001F32CA" w:rsidRDefault="001F32CA" w:rsidP="001F32CA">
      <w:pPr>
        <w:spacing w:before="120" w:after="120" w:line="240" w:lineRule="auto"/>
        <w:ind w:left="-5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1F32CA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Risk Durumu:</w:t>
      </w:r>
      <w:r w:rsidRPr="001F32CA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Denetim yerlerinde olumsuz durumla karşılaşmak, trafik kazası.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1F32CA" w:rsidTr="00DF6A9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02C93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D02C93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F6A97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F6A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02C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D02C9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  <w:bookmarkStart w:id="0" w:name="_GoBack"/>
            <w:bookmarkEnd w:id="0"/>
          </w:p>
        </w:tc>
      </w:tr>
      <w:tr w:rsidR="001F32CA" w:rsidTr="00DF6A9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1F32CA" w:rsidTr="00DF6A9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2CA" w:rsidRDefault="001F32CA" w:rsidP="00DF6A97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1F32CA" w:rsidTr="00DF6A9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F32CA" w:rsidRDefault="001F32CA" w:rsidP="00DF6A97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1F32CA" w:rsidRPr="001F32CA" w:rsidRDefault="001F32CA" w:rsidP="001F32CA"/>
    <w:p w:rsidR="001F32CA" w:rsidRPr="001F32CA" w:rsidRDefault="001F32CA" w:rsidP="001F32CA"/>
    <w:p w:rsidR="001F32CA" w:rsidRPr="001F32CA" w:rsidRDefault="001F32CA" w:rsidP="001F32CA"/>
    <w:p w:rsidR="001F32CA" w:rsidRPr="001F32CA" w:rsidRDefault="001F32CA" w:rsidP="001F32CA"/>
    <w:p w:rsidR="001F32CA" w:rsidRPr="001F32CA" w:rsidRDefault="001F32CA" w:rsidP="001F32CA"/>
    <w:p w:rsidR="001F32CA" w:rsidRDefault="001F32CA" w:rsidP="001F32CA"/>
    <w:p w:rsidR="001F32CA" w:rsidRPr="001F32CA" w:rsidRDefault="001F32CA" w:rsidP="001F32CA">
      <w:pPr>
        <w:tabs>
          <w:tab w:val="left" w:pos="1575"/>
        </w:tabs>
      </w:pPr>
      <w:r>
        <w:tab/>
      </w:r>
    </w:p>
    <w:p w:rsidR="00C2553A" w:rsidRPr="001F32CA" w:rsidRDefault="00C2553A" w:rsidP="001F32CA">
      <w:pPr>
        <w:tabs>
          <w:tab w:val="left" w:pos="1575"/>
        </w:tabs>
      </w:pPr>
    </w:p>
    <w:sectPr w:rsidR="00C2553A" w:rsidRPr="001F32CA" w:rsidSect="001F32C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28A5"/>
    <w:multiLevelType w:val="hybridMultilevel"/>
    <w:tmpl w:val="E03CF91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3406B"/>
    <w:multiLevelType w:val="hybridMultilevel"/>
    <w:tmpl w:val="4E0CA4A4"/>
    <w:lvl w:ilvl="0" w:tplc="CB56232A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ACBC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815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6AF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A50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0C6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498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F6C9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2D1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CE"/>
    <w:rsid w:val="0005255C"/>
    <w:rsid w:val="001F32CA"/>
    <w:rsid w:val="007424CE"/>
    <w:rsid w:val="00C2553A"/>
    <w:rsid w:val="00D0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A953-478C-4459-BD79-3B844EA8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32CA"/>
    <w:pPr>
      <w:spacing w:line="256" w:lineRule="auto"/>
      <w:ind w:left="720"/>
      <w:contextualSpacing/>
    </w:pPr>
  </w:style>
  <w:style w:type="table" w:customStyle="1" w:styleId="TableGrid">
    <w:name w:val="TableGrid"/>
    <w:rsid w:val="001F32CA"/>
    <w:pPr>
      <w:spacing w:before="120" w:after="0" w:line="240" w:lineRule="auto"/>
      <w:ind w:left="142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590058-96FB-47F9-AA4B-9460F888CE66}"/>
</file>

<file path=customXml/itemProps2.xml><?xml version="1.0" encoding="utf-8"?>
<ds:datastoreItem xmlns:ds="http://schemas.openxmlformats.org/officeDocument/2006/customXml" ds:itemID="{7AD9DF68-34C2-447E-80C5-EAA97F531571}"/>
</file>

<file path=customXml/itemProps3.xml><?xml version="1.0" encoding="utf-8"?>
<ds:datastoreItem xmlns:ds="http://schemas.openxmlformats.org/officeDocument/2006/customXml" ds:itemID="{D7D97985-B715-4690-9207-4BFD1262C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3</cp:revision>
  <dcterms:created xsi:type="dcterms:W3CDTF">2018-05-11T12:32:00Z</dcterms:created>
  <dcterms:modified xsi:type="dcterms:W3CDTF">2022-08-22T10:20:00Z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